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B45D6" w14:textId="77777777" w:rsidR="00093208" w:rsidRPr="00E27E00" w:rsidRDefault="00093208" w:rsidP="00093208">
      <w:pPr>
        <w:tabs>
          <w:tab w:val="left" w:pos="3458"/>
        </w:tabs>
        <w:spacing w:after="0" w:line="240" w:lineRule="auto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E27E00">
        <w:rPr>
          <w:rFonts w:ascii="Times New Roman" w:hAnsi="Times New Roman"/>
          <w:noProof/>
          <w:color w:val="40404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357C86" wp14:editId="6AF706A8">
            <wp:simplePos x="0" y="0"/>
            <wp:positionH relativeFrom="column">
              <wp:posOffset>2632710</wp:posOffset>
            </wp:positionH>
            <wp:positionV relativeFrom="paragraph">
              <wp:posOffset>47625</wp:posOffset>
            </wp:positionV>
            <wp:extent cx="41910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E00">
        <w:rPr>
          <w:rFonts w:ascii="Times New Roman" w:hAnsi="Times New Roman"/>
          <w:color w:val="404040"/>
          <w:sz w:val="24"/>
          <w:szCs w:val="24"/>
          <w:lang w:val="uk-UA"/>
        </w:rPr>
        <w:br w:type="textWrapping" w:clear="all"/>
      </w:r>
    </w:p>
    <w:p w14:paraId="6A92E8B9" w14:textId="77777777" w:rsidR="00093208" w:rsidRPr="00E27E00" w:rsidRDefault="00093208" w:rsidP="0009320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27E00">
        <w:rPr>
          <w:rFonts w:ascii="Times New Roman" w:hAnsi="Times New Roman"/>
          <w:b/>
          <w:color w:val="000000"/>
          <w:sz w:val="24"/>
          <w:szCs w:val="24"/>
          <w:lang w:val="uk-UA"/>
        </w:rPr>
        <w:t>ТЯГИНСЬКА СІЛЬСЬКА РАДА</w:t>
      </w:r>
    </w:p>
    <w:p w14:paraId="20F6F413" w14:textId="77777777" w:rsidR="00093208" w:rsidRPr="00E27E00" w:rsidRDefault="00093208" w:rsidP="0009320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27E00">
        <w:rPr>
          <w:rFonts w:ascii="Times New Roman" w:hAnsi="Times New Roman"/>
          <w:b/>
          <w:color w:val="000000"/>
          <w:sz w:val="24"/>
          <w:szCs w:val="24"/>
          <w:lang w:val="uk-UA"/>
        </w:rPr>
        <w:t>БЕРИСЛАВСЬКОГО РАЙОНУ ХЕРСОНСЬКОЇ ОБЛАСТІ</w:t>
      </w:r>
    </w:p>
    <w:p w14:paraId="3CFE41D6" w14:textId="41E3E420" w:rsidR="00093208" w:rsidRPr="00E27E00" w:rsidRDefault="002767F3" w:rsidP="0009320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ТРИНАДЦЯТА </w:t>
      </w:r>
      <w:r w:rsidR="00093208" w:rsidRPr="00E27E00">
        <w:rPr>
          <w:rFonts w:ascii="Times New Roman" w:hAnsi="Times New Roman"/>
          <w:b/>
          <w:color w:val="000000"/>
          <w:sz w:val="24"/>
          <w:szCs w:val="24"/>
          <w:lang w:val="uk-UA"/>
        </w:rPr>
        <w:t>СЕСІЯ ВОСЬМОГО СКЛИКАННЯ</w:t>
      </w:r>
    </w:p>
    <w:p w14:paraId="01308CC8" w14:textId="77777777" w:rsidR="00093208" w:rsidRPr="00E27E00" w:rsidRDefault="00093208" w:rsidP="0009320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E95868F" w14:textId="77777777" w:rsidR="00093208" w:rsidRPr="00E27E00" w:rsidRDefault="00093208" w:rsidP="00093208">
      <w:pPr>
        <w:tabs>
          <w:tab w:val="left" w:pos="4132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27E00">
        <w:rPr>
          <w:rFonts w:ascii="Times New Roman" w:hAnsi="Times New Roman"/>
          <w:color w:val="000000"/>
          <w:sz w:val="24"/>
          <w:szCs w:val="24"/>
          <w:lang w:val="uk-UA"/>
        </w:rPr>
        <w:t xml:space="preserve">Р І Ш Е Н </w:t>
      </w:r>
      <w:proofErr w:type="spellStart"/>
      <w:r w:rsidRPr="00E27E00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proofErr w:type="spellEnd"/>
      <w:r w:rsidRPr="00E27E00">
        <w:rPr>
          <w:rFonts w:ascii="Times New Roman" w:hAnsi="Times New Roman"/>
          <w:color w:val="000000"/>
          <w:sz w:val="24"/>
          <w:szCs w:val="24"/>
          <w:lang w:val="uk-UA"/>
        </w:rPr>
        <w:t xml:space="preserve"> Я</w:t>
      </w:r>
    </w:p>
    <w:p w14:paraId="0957F4BE" w14:textId="77777777" w:rsidR="00093208" w:rsidRPr="00E27E00" w:rsidRDefault="00093208" w:rsidP="00093208">
      <w:pPr>
        <w:tabs>
          <w:tab w:val="left" w:pos="142"/>
          <w:tab w:val="left" w:pos="657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E54E555" w14:textId="1F7E48EE" w:rsidR="00093208" w:rsidRPr="00E27E00" w:rsidRDefault="002767F3" w:rsidP="00093208">
      <w:pPr>
        <w:tabs>
          <w:tab w:val="left" w:pos="142"/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30.11.2021</w:t>
      </w:r>
      <w:r w:rsidR="00093208" w:rsidRPr="00E27E00">
        <w:rPr>
          <w:rFonts w:ascii="Times New Roman" w:hAnsi="Times New Roman"/>
          <w:sz w:val="24"/>
          <w:szCs w:val="24"/>
          <w:lang w:val="uk-UA"/>
        </w:rPr>
        <w:tab/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274</w:t>
      </w:r>
    </w:p>
    <w:p w14:paraId="69EEAC38" w14:textId="77777777" w:rsidR="00093208" w:rsidRPr="00E27E00" w:rsidRDefault="00093208" w:rsidP="000932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>Про Програму інформатизації</w:t>
      </w:r>
    </w:p>
    <w:p w14:paraId="0451BEFB" w14:textId="77777777" w:rsidR="00093208" w:rsidRPr="00E27E00" w:rsidRDefault="00093208" w:rsidP="000932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>Тягинської сільської територіальної</w:t>
      </w:r>
    </w:p>
    <w:p w14:paraId="4F186678" w14:textId="77777777" w:rsidR="00093208" w:rsidRPr="00E27E00" w:rsidRDefault="00093208" w:rsidP="000932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 xml:space="preserve"> громади на 2022-2024 роки</w:t>
      </w:r>
    </w:p>
    <w:p w14:paraId="761FE7C7" w14:textId="77777777" w:rsidR="00093208" w:rsidRPr="00E27E00" w:rsidRDefault="00093208" w:rsidP="000932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10BA37F" w14:textId="77777777" w:rsidR="00093208" w:rsidRPr="00E27E00" w:rsidRDefault="00093208" w:rsidP="000932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>З метою забезпечення доступу громадян до процесів формування інформаційного суспільства через упровадження інноваційних підходів, інструментів та технологій електронного урядування, електронної демократії, інших сучасних інформаційно-комп’ютерних технологій шляхом модернізації системи публічного управління соціально-економічним розвитком громади</w:t>
      </w:r>
    </w:p>
    <w:p w14:paraId="768C0FAE" w14:textId="0E3686B4" w:rsidR="00093208" w:rsidRPr="00E27E00" w:rsidRDefault="00093208" w:rsidP="00093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доступ до публічної інформації», « Про захист інформації в інформаційно-телекомунікаційних системах»,</w:t>
      </w:r>
      <w:r w:rsidR="00A141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7E00">
        <w:rPr>
          <w:rFonts w:ascii="Times New Roman" w:hAnsi="Times New Roman"/>
          <w:sz w:val="24"/>
          <w:szCs w:val="24"/>
          <w:lang w:val="uk-UA"/>
        </w:rPr>
        <w:t>керуючись ст.26 Закону України « Про місцеве самоврядування в Україні», сільська рада</w:t>
      </w:r>
    </w:p>
    <w:p w14:paraId="76429087" w14:textId="77777777" w:rsidR="00093208" w:rsidRPr="00E27E00" w:rsidRDefault="00093208" w:rsidP="000932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2AF70DE" w14:textId="77777777" w:rsidR="00093208" w:rsidRPr="00E27E00" w:rsidRDefault="00093208" w:rsidP="0009320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14:paraId="4F89EF28" w14:textId="53A87C60" w:rsidR="00093208" w:rsidRPr="00A1413E" w:rsidRDefault="00093208" w:rsidP="00A141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413E">
        <w:rPr>
          <w:rFonts w:ascii="Times New Roman" w:hAnsi="Times New Roman"/>
          <w:sz w:val="24"/>
          <w:szCs w:val="24"/>
          <w:lang w:val="uk-UA"/>
        </w:rPr>
        <w:t>Затвердити Програму інформатизації Тягинської сільської територіальної</w:t>
      </w:r>
    </w:p>
    <w:p w14:paraId="79A8AAC5" w14:textId="77777777" w:rsidR="00093208" w:rsidRPr="00E27E00" w:rsidRDefault="00093208" w:rsidP="000932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 xml:space="preserve"> громади на 2022-2024 роки (далі-Програма)що додається.</w:t>
      </w:r>
    </w:p>
    <w:p w14:paraId="139B60EE" w14:textId="5B2DC269" w:rsidR="00A1413E" w:rsidRDefault="00093208" w:rsidP="00093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>2.</w:t>
      </w:r>
      <w:r w:rsidR="00A141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7E00">
        <w:rPr>
          <w:rFonts w:ascii="Times New Roman" w:hAnsi="Times New Roman"/>
          <w:sz w:val="24"/>
          <w:szCs w:val="24"/>
          <w:lang w:val="uk-UA"/>
        </w:rPr>
        <w:t>Відділу фінансів, планування та інвестицій (Тетяна КОТІЙ) здійснити фінансування Програми</w:t>
      </w:r>
      <w:r w:rsidR="00A141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7E00">
        <w:rPr>
          <w:rFonts w:ascii="Times New Roman" w:hAnsi="Times New Roman"/>
          <w:sz w:val="24"/>
          <w:szCs w:val="24"/>
          <w:lang w:val="uk-UA"/>
        </w:rPr>
        <w:t>в межах бюджетних асигнувань з коштів сільського бюджету на відповідний рік, а також із залученням інших коштів, не заборонених чинним законодавством</w:t>
      </w:r>
      <w:r w:rsidR="00A1413E">
        <w:rPr>
          <w:rFonts w:ascii="Times New Roman" w:hAnsi="Times New Roman"/>
          <w:sz w:val="24"/>
          <w:szCs w:val="24"/>
          <w:lang w:val="uk-UA"/>
        </w:rPr>
        <w:t>.</w:t>
      </w:r>
    </w:p>
    <w:p w14:paraId="56AC2E38" w14:textId="5C6F6AF5" w:rsidR="00093208" w:rsidRPr="00E27E00" w:rsidRDefault="00A1413E" w:rsidP="00093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Визнати таким, що втратило чинність рішення 38 сесії сьомого скликання від 23.12.2019 року № 441.</w:t>
      </w:r>
      <w:r w:rsidR="00093208" w:rsidRPr="00E27E0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675EE7D" w14:textId="438993EA" w:rsidR="00093208" w:rsidRPr="00E27E00" w:rsidRDefault="00A1413E" w:rsidP="00093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093208" w:rsidRPr="00E27E0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208" w:rsidRPr="00E27E00">
        <w:rPr>
          <w:rFonts w:ascii="Times New Roman" w:hAnsi="Times New Roman"/>
          <w:sz w:val="24"/>
          <w:szCs w:val="24"/>
          <w:lang w:val="uk-UA"/>
        </w:rPr>
        <w:t>Контроль за виконанням даного  рішення покласти на постійні комісії Тягинської сільської ради.</w:t>
      </w:r>
    </w:p>
    <w:p w14:paraId="154B0A94" w14:textId="77777777" w:rsidR="00093208" w:rsidRPr="00E27E00" w:rsidRDefault="00093208" w:rsidP="00093208">
      <w:pPr>
        <w:spacing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14:paraId="7AE18915" w14:textId="77777777" w:rsidR="00093208" w:rsidRPr="00E27E00" w:rsidRDefault="00093208" w:rsidP="00093208">
      <w:pPr>
        <w:tabs>
          <w:tab w:val="left" w:pos="630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27E00">
        <w:rPr>
          <w:rFonts w:ascii="Times New Roman" w:hAnsi="Times New Roman"/>
          <w:sz w:val="24"/>
          <w:szCs w:val="24"/>
          <w:lang w:val="uk-UA"/>
        </w:rPr>
        <w:t>Сільський голова</w:t>
      </w:r>
      <w:r w:rsidRPr="00E27E00">
        <w:rPr>
          <w:rFonts w:ascii="Times New Roman" w:hAnsi="Times New Roman"/>
          <w:sz w:val="24"/>
          <w:szCs w:val="24"/>
          <w:lang w:val="uk-UA"/>
        </w:rPr>
        <w:tab/>
        <w:t>Раїса ПОНОМАРЕНКО</w:t>
      </w:r>
    </w:p>
    <w:p w14:paraId="3954E91C" w14:textId="77777777" w:rsidR="00093208" w:rsidRDefault="00093208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97FA207" w14:textId="77777777" w:rsidR="00093208" w:rsidRDefault="00093208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br w:type="page"/>
      </w:r>
    </w:p>
    <w:p w14:paraId="0077ABA2" w14:textId="77777777" w:rsidR="009067E7" w:rsidRPr="0016347D" w:rsidRDefault="009067E7" w:rsidP="008D0683">
      <w:pPr>
        <w:spacing w:after="0" w:line="240" w:lineRule="auto"/>
        <w:ind w:firstLine="4305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A00051A" w14:textId="77777777" w:rsidR="009067E7" w:rsidRPr="0016347D" w:rsidRDefault="009067E7" w:rsidP="008D0683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ЗАТВЕРДЖЕНО</w:t>
      </w:r>
    </w:p>
    <w:p w14:paraId="3DD0601B" w14:textId="5F2E97D7" w:rsidR="009067E7" w:rsidRPr="0016347D" w:rsidRDefault="009067E7" w:rsidP="00D9010B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рішення </w:t>
      </w:r>
      <w:r w:rsidR="002767F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13 </w:t>
      </w:r>
      <w:r w:rsidR="00D9010B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сесії </w:t>
      </w:r>
      <w:r w:rsidR="008D0683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Тягинської</w:t>
      </w:r>
      <w:r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сільської ради</w:t>
      </w:r>
      <w:r w:rsidR="00D9010B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восьмого скликання</w:t>
      </w:r>
    </w:p>
    <w:p w14:paraId="7E03D0D9" w14:textId="6B18090B" w:rsidR="009067E7" w:rsidRPr="0016347D" w:rsidRDefault="009067E7" w:rsidP="008D0683">
      <w:pPr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від </w:t>
      </w:r>
      <w:r w:rsidR="002767F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30.11.</w:t>
      </w:r>
      <w:r w:rsidR="00832105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20</w:t>
      </w:r>
      <w:r w:rsidR="00741E6F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</w:t>
      </w:r>
      <w:r w:rsidR="00832105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</w:t>
      </w:r>
      <w:r w:rsidR="00741E6F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</w:t>
      </w:r>
      <w:r w:rsidR="00832105" w:rsidRPr="0016347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 </w:t>
      </w:r>
      <w:r w:rsidR="002767F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274</w:t>
      </w:r>
    </w:p>
    <w:p w14:paraId="736FFFAD" w14:textId="77777777" w:rsidR="009067E7" w:rsidRPr="0016347D" w:rsidRDefault="009067E7" w:rsidP="008D068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AB090F3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2B592EB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AD216A4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8BB602E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7658CF2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DDCD74A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C3BEE47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230DCB4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578FC719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1D5DE87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4C6AFB8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54FF50C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778809C" w14:textId="77777777" w:rsidR="009067E7" w:rsidRPr="0016347D" w:rsidRDefault="009067E7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Програма інформатизації</w:t>
      </w:r>
    </w:p>
    <w:p w14:paraId="24EAC3CE" w14:textId="77777777" w:rsidR="008D0683" w:rsidRPr="0016347D" w:rsidRDefault="00400F00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Тягинської</w:t>
      </w:r>
      <w:r w:rsidR="009067E7"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сільської територіальної громади </w:t>
      </w:r>
    </w:p>
    <w:p w14:paraId="5D667539" w14:textId="77777777" w:rsidR="009067E7" w:rsidRPr="0016347D" w:rsidRDefault="009067E7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 20</w:t>
      </w:r>
      <w:r w:rsidR="00400F00"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22</w:t>
      </w:r>
      <w:r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- 202</w:t>
      </w:r>
      <w:r w:rsidR="004A7228"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</w:t>
      </w:r>
      <w:r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роки</w:t>
      </w:r>
    </w:p>
    <w:p w14:paraId="3EABFF2C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769114D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4C99A67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5353CAF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665C230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8D7A99D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492E7BE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2D13998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F9B4054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1FFB4A0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9C1545C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8CE3F8B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6B685D2F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DCBBBED" w14:textId="77777777" w:rsidR="009067E7" w:rsidRPr="0016347D" w:rsidRDefault="009067E7" w:rsidP="008D0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BF543A6" w14:textId="77777777" w:rsidR="009067E7" w:rsidRPr="0016347D" w:rsidRDefault="009067E7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B30F4E4" w14:textId="77777777" w:rsidR="00400F00" w:rsidRPr="0016347D" w:rsidRDefault="00400F00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02FDADF" w14:textId="77777777" w:rsidR="00400F00" w:rsidRPr="0016347D" w:rsidRDefault="00400F00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6EC6338" w14:textId="77777777" w:rsidR="00400F00" w:rsidRPr="0016347D" w:rsidRDefault="00400F00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5A73CC1" w14:textId="77777777" w:rsidR="00400F00" w:rsidRPr="0016347D" w:rsidRDefault="00400F00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4BD270AF" w14:textId="77777777" w:rsidR="009067E7" w:rsidRPr="0016347D" w:rsidRDefault="009067E7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</w:t>
      </w:r>
      <w:r w:rsidR="00400F00"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21</w:t>
      </w:r>
      <w:r w:rsidRPr="0016347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рік</w:t>
      </w:r>
    </w:p>
    <w:p w14:paraId="6339C8BB" w14:textId="77777777" w:rsidR="00AD0A88" w:rsidRPr="0016347D" w:rsidRDefault="00AD0A88" w:rsidP="008D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AD6A200" w14:textId="77777777" w:rsidR="00084FDA" w:rsidRPr="0016347D" w:rsidRDefault="00084FDA" w:rsidP="008D06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57119B56" w14:textId="77777777" w:rsidR="00507973" w:rsidRPr="0016347D" w:rsidRDefault="00507973" w:rsidP="008D068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br w:type="page"/>
      </w:r>
    </w:p>
    <w:p w14:paraId="59811B11" w14:textId="77777777" w:rsidR="00B4683C" w:rsidRPr="0016347D" w:rsidRDefault="00B4683C" w:rsidP="008D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lastRenderedPageBreak/>
        <w:t>І. Вступ</w:t>
      </w:r>
      <w:r w:rsidR="001D755A"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  <w:t xml:space="preserve"> </w:t>
      </w:r>
    </w:p>
    <w:p w14:paraId="48F8396F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Серед напрямів формування та здійснення публічної політики на регіональному рівні в сучасних реаліях провідне місце в Україні має відводитися створенню умов для інноваційного розвитку економіки, соціального прогресу, задоволення інформаційних потреб у реалізації прав громадян, їх об’єднань, підприємств та організацій, місцевих органів державної влади та органів місцевого самоврядування на основі формування і використання інформаційних ресурсів і сучасних технологій.</w:t>
      </w:r>
      <w:r w:rsidRPr="0016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Попередження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</w:t>
      </w:r>
      <w:r w:rsidRPr="0016347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розв’язання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існуючих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розрізі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зазначеного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політики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бути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завдяки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розробці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регіональних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передбачає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сукупність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взаємопов’язаних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політичних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соціально-економічних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науково-технічних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виробничих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спрямовані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умов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засадах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систем, мереж,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побудованих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обчислювальної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комунікаційної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техніки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5C0447E" w14:textId="77777777" w:rsidR="00E71BE9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1A70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Тягинської</w:t>
      </w:r>
      <w:r w:rsidR="0072423A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сільської </w:t>
      </w:r>
      <w:proofErr w:type="spellStart"/>
      <w:r w:rsidR="0072423A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терирріальної</w:t>
      </w:r>
      <w:proofErr w:type="spellEnd"/>
      <w:r w:rsidR="0072423A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громади </w:t>
      </w:r>
      <w:r w:rsidR="0072423A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 w:rsidR="00331A70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</w:t>
      </w:r>
      <w:r w:rsidR="0072423A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4A7228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="0072423A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 (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визначає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засади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4EF6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сільської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E71BE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олітики</w:t>
      </w:r>
      <w:proofErr w:type="spellEnd"/>
      <w:r w:rsidR="00E71BE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="00E71BE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сфері</w:t>
      </w:r>
      <w:proofErr w:type="spellEnd"/>
      <w:r w:rsidR="00E71BE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71BE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="00E71BE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C108890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спрямована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подальший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демократії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демократія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Запровадження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демократії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стимулювати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політичну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особистості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сприяти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політичній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боку,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якісно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рівень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виходять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відносини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бізнесом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своїх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держава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отримує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максимально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позицію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мають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відкритий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офіційної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можливість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висловлювати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побажання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слідкувати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підтримувати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реальний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діалог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представниками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</w:t>
      </w:r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он-лайн-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лобіювати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прийняття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важливих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153E0A4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враховує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напрямів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політики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знайшли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відображення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законах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«Про доступ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«Про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закупівлі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«Про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захист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інформаційно-телекомунікаційних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системах», Указ Президента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січня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2015 року № 5/2015 «Про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Стратегію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2020», постанов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року № 1073-VIII «Про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парламентських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слухань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тему: «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Реформи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галузі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простору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Міністрів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квітня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року № 294 «Про затвердження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Міністрів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розпорядженнях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Кабінету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Міністрів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2013 року № 386-р «Про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схвалення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24 червня 2016 року № 474-р «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Деякі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реформування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1A70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державного </w:t>
      </w:r>
      <w:proofErr w:type="spellStart"/>
      <w:r w:rsidR="00331A70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="00331A70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31A70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="00331A70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9DDD5D0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спосіб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межах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територіальній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вирішуватимуться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переходу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орієнтованого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інтереси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людей,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спрямованого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відкритого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прозорого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економічної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засадах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результативності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ефективності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умов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як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інфраструктури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інноваційного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територіальної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</w:t>
      </w:r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цілому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E60450E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Завдання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враховують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нормативно-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інфраструктури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виконавчої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потреб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підприємств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E4628A3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застосовуються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терміни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491ED79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інформатизація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сукупність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взаємопов’язаних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політичних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соціально-економічних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науково-технічних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виробничих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спрямовані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умов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задоволення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систем, мереж,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ґрунтуються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обчислювальної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комунікаційної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техніки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D502953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інформаційна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технологія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цілеспрямована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організована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сукупність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засобів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обчислювальної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техніки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забезпечують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високу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швидкість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обробки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швидкий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пошук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розосередження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доступ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джерел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незалежно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розташування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74E4459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засоби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електронно-обчислювальні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лінгвістичне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окремі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елементи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мережі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мережі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зв’язку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використовуються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0A0D317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е-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форма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державного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яка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сприяє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підвищенню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ефективності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відкритості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прозорості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інформаційно-телекомунікаційних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нового типу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орієнтованої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задоволення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4CEDB25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е-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демократія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форма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відносин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залучаються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державотворення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державного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шляхом широкого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ІКТ;</w:t>
      </w:r>
    </w:p>
    <w:p w14:paraId="2EB9E05A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електронна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послуга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громадянам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організаціям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вигляді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допомогою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ІКТ (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2BE0A23B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інформаційна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інфраструктура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сукупність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різноманітних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автоматизованих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систем,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мереж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каналів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засобів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комунікацій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потоками, 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організаційно-технічних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механізмів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забезпечують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функціонування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3BC7A7D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інформаційне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суспільство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орієнтоване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інтереси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людей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кожен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міг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створювати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накопичувати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них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вільний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користуватися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обмінюватися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ними,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щоб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можливість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кожній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повною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мірою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реалізувати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потенціал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сприяти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суспільному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особистому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підвищувати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життя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B3EB12" w14:textId="77777777" w:rsidR="004A7228" w:rsidRPr="0016347D" w:rsidRDefault="00B4683C" w:rsidP="008D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ІІ.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Стан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інфраструктури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пріоритетні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напрями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214DED54" w14:textId="77777777" w:rsidR="00B4683C" w:rsidRPr="0016347D" w:rsidRDefault="00B4683C" w:rsidP="008D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соціально-економічного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громади</w:t>
      </w:r>
      <w:proofErr w:type="spellEnd"/>
    </w:p>
    <w:p w14:paraId="4596768C" w14:textId="77777777" w:rsidR="00A37CDF" w:rsidRPr="0016347D" w:rsidRDefault="00331A70" w:rsidP="008D06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Тягинська територіальна громада </w:t>
      </w:r>
      <w:r w:rsidR="00A37CDF" w:rsidRPr="001634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– одна з 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громад, яка має невелику історію, оскільки об’єдналася тільки у 2021 році. </w:t>
      </w:r>
      <w:r w:rsidR="00602029" w:rsidRPr="001634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Вона </w:t>
      </w:r>
      <w:r w:rsidR="00A37CDF" w:rsidRPr="001634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характеризується вигідним географічним положенням, </w:t>
      </w:r>
      <w:r w:rsidR="00602029" w:rsidRPr="001634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>деякими</w:t>
      </w:r>
      <w:r w:rsidR="00A37CDF" w:rsidRPr="0016347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ar-SA"/>
        </w:rPr>
        <w:t xml:space="preserve"> природними ресурсами, промисловим потенціалом, розвинутим сільськогосподарським виробництвом, стабільним рівнем розвитку транспорту і зв’язку.</w:t>
      </w:r>
    </w:p>
    <w:p w14:paraId="384EBA31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Загальносвітовою тенденцією є трансформація індустріального суспільства у постіндустріальне, що відбувається в умовах посилення глобалізаційних процесів, розширення сфери послуг і нематеріального виробництва у результаті науково-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технічного прогресу, у тому числі масштабного, глибинного та динамічного проникнення інформаційно-комунікаційних технологій в усі сфери життєдіяльності особи, суспільства, суб’єктів господарювання та держави.</w:t>
      </w:r>
    </w:p>
    <w:p w14:paraId="3F49C1C4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Раціональне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врахування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впливу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комплексу таких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різновекторних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особливостей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потребує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скоординованих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цією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метою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необхідно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об’єднати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зусилля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громадянського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даний час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більшості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є одним 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національних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пріоритетів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цьому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інформаційно-комунікаційні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є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необхідним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інструментом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соціально-економічного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прогресу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одним 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чинників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інноваційного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економіки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B9B5F7D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міжнародного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досвіду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свідчать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стали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рушійною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силою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соціально-економічного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відновлення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економіки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багатьох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світу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визначають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майбутньому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2AAE55F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Суб’єктами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господарювання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прискорено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запроваджуються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інформаційно-комунікаційні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підвищення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конкурентоспроможності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12E58BC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Активізується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робота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запровадження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новітніх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публічному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зокрема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науці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охороні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здоров’я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активно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глобальні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світових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A0EFB5C" w14:textId="77777777" w:rsidR="00B4683C" w:rsidRPr="0016347D" w:rsidRDefault="006C1FF4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органах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місцевого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самоврядування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характеризується</w:t>
      </w:r>
      <w:proofErr w:type="spellEnd"/>
      <w:proofErr w:type="gram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наступними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показниками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2BCDFB2C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персональними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комп’ютерами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395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сільської </w:t>
      </w:r>
      <w:r w:rsidR="00C572B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ради;</w:t>
      </w:r>
    </w:p>
    <w:p w14:paraId="18299F7A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доступ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</w:t>
      </w:r>
      <w:r w:rsidR="00C572B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жі</w:t>
      </w:r>
      <w:proofErr w:type="spellEnd"/>
      <w:r w:rsidR="00C572B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572B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Інтернет</w:t>
      </w:r>
      <w:proofErr w:type="spellEnd"/>
      <w:r w:rsidR="00C572B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C572B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мають</w:t>
      </w:r>
      <w:proofErr w:type="spellEnd"/>
      <w:r w:rsidR="00C572B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швидкість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каналів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зв’язку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слабка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0FD7D2A8" w14:textId="77777777" w:rsidR="00B4683C" w:rsidRPr="0016347D" w:rsidRDefault="00281226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працівник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 w:rsidR="000D1D38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D1D38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сільської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  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виконують</w:t>
      </w:r>
      <w:proofErr w:type="spellEnd"/>
      <w:proofErr w:type="gram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свої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посадові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обов’язки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використанням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5B92782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Забезпечено доступ до мережі Інтернет, 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 дозволяє забезпечити швидкісним та високоякісним зв’язком органи місцевої виконавчої влади та органи місцевого самоврядування;</w:t>
      </w:r>
    </w:p>
    <w:p w14:paraId="0B2D9413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допомогою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бездротових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каналів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зв’язку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123D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сільську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приєднано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єдину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комп’ютерну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мережу з доступом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Інтернет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регіональної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E965B51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метою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досягнення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пріоритетів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цілей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малого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середнього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бізнесу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та «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підтримки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–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планується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забезпечити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можливість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громадянам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суб’єктам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господарювання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отримувати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адміністративні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будь-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яким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зручним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них способом: особисте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відвідування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телефону,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відправлення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отримання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поштове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відділення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через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Інтернет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93A1808" w14:textId="77777777" w:rsidR="00B4683C" w:rsidRPr="0016347D" w:rsidRDefault="00602029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Тягинська</w:t>
      </w:r>
      <w:r w:rsidR="00861DBD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сільська рада</w:t>
      </w:r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запровад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ла одну із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найсучасніш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й</w:t>
      </w:r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опрацювання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документів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контролю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нормативно-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правових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актів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застосуванням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сучасної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автоматизованої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діловодства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далі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АСКОД</w:t>
      </w:r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64B8AA12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потребують</w:t>
      </w:r>
      <w:proofErr w:type="spellEnd"/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вирішення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1B61531A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певна невпорядкованість інформаційних відносин, що існує при організації інформаційної взаємодії органів виконавчої вл</w:t>
      </w:r>
      <w:r w:rsidR="002B3B2B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ади та місцевого самоврядування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14:paraId="7FBDC8C2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неузгодженість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переважна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відсутність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галузевих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ECBC326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доступу</w:t>
      </w:r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користувачів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низькі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показники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доступу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Інтернету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A0A4845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збільшення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проблем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ризиків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пов’язаних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із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захистом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7835323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необхідність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захисту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державних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41937E9" w14:textId="77777777" w:rsidR="000E02C5" w:rsidRPr="0016347D" w:rsidRDefault="00D64AB8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наданні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відповідних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мешканцям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населених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пунктів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682C973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 інформуванні про соціально-демографічну характеристику та рух населення в сільській місцевості, його потенціал в сфері сільського господарства, персоніфікований облік та рух земельних ділянок на території місцевої ради, тощо;</w:t>
      </w:r>
    </w:p>
    <w:p w14:paraId="52771884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створює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передумов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більш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об’єктивного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прозорого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підходу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обліку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контролю за рухом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сільській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належних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умов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запровадження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вільного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ринку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</w:t>
      </w:r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ьськогосподарського</w:t>
      </w:r>
      <w:proofErr w:type="spellEnd"/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призначення</w:t>
      </w:r>
      <w:proofErr w:type="spellEnd"/>
    </w:p>
    <w:p w14:paraId="3DF474B1" w14:textId="77777777" w:rsidR="00A36E1E" w:rsidRPr="0016347D" w:rsidRDefault="00A36E1E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некомпетентність та не знання користування системами працівників сільської ради.</w:t>
      </w:r>
    </w:p>
    <w:p w14:paraId="662D83FD" w14:textId="77777777" w:rsidR="00B4683C" w:rsidRPr="0016347D" w:rsidRDefault="00B4683C" w:rsidP="008D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ІІІ. Мета,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завдання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пріоритетні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напрями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інформації</w:t>
      </w:r>
      <w:proofErr w:type="spellEnd"/>
    </w:p>
    <w:p w14:paraId="7B2D6B01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Метою Програми є забезпечення доступу громадян до процесів формування інформаційного суспільства через упровадження інноваційних підходів, інструментів та технологій електронного урядування, електронної демократії, інших сучасних інформаційно-комп’ютерних технологій шляхом модернізації системи публічного управління соціально-економічним розвитком громади, розвитку інфраструктури відкритих даних, телекомунікаційного середовища та забезпечення рівності громадян незалежно від місця їх проживання в дотриманні їх конституційних прав.</w:t>
      </w:r>
    </w:p>
    <w:p w14:paraId="186F0D5C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мають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передбачати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77604FF8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врахування основних напрямів соціально-економічного розвитку громади, Національної програми інформатизації, Стратегії розвитку інформаційного суспільства в Україні, Стратегії сталого розвитку</w:t>
      </w:r>
      <w:r w:rsidR="002E6F9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Тягинської </w:t>
      </w:r>
      <w:r w:rsidR="0028368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територіальної громади на 20</w:t>
      </w:r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</w:t>
      </w:r>
      <w:r w:rsidR="0028368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-202</w:t>
      </w:r>
      <w:r w:rsidR="004A7228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="0028368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роки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;</w:t>
      </w:r>
    </w:p>
    <w:p w14:paraId="44E8DD39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</w:t>
      </w:r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лізацію</w:t>
      </w:r>
      <w:proofErr w:type="spellEnd"/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</w:t>
      </w:r>
      <w:r w:rsidR="00283689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4A7228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роки за принципами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спадковості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поступовості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безперервності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47B9E90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сприяння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нормативно-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розповсюдження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також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57EBF66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фінансових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засад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A8171A9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здійснення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перерозподілу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концентрації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найбільш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результативних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напрямів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результатами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моніторингу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2F256C9" w14:textId="77777777" w:rsidR="00B4683C" w:rsidRPr="0016347D" w:rsidRDefault="00B4683C" w:rsidP="008D06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пріоритету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завданням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передбачають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відкритого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коду (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вільне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25F81033" w14:textId="77777777" w:rsidR="00B4683C" w:rsidRPr="0016347D" w:rsidRDefault="00B4683C" w:rsidP="004A72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proofErr w:type="gramStart"/>
      <w:r w:rsidRPr="00163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Цілями</w:t>
      </w:r>
      <w:proofErr w:type="spellEnd"/>
      <w:r w:rsidRPr="00163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 </w:t>
      </w:r>
      <w:proofErr w:type="spellStart"/>
      <w:r w:rsidRPr="00163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Програми</w:t>
      </w:r>
      <w:proofErr w:type="spellEnd"/>
      <w:proofErr w:type="gramEnd"/>
      <w:r w:rsidRPr="00163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є:</w:t>
      </w:r>
    </w:p>
    <w:p w14:paraId="38922A54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прискорення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впровадження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ІКТ </w:t>
      </w:r>
      <w:proofErr w:type="gram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сферах</w:t>
      </w:r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науки,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охорони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здоров’я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A6EB307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підвищення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адміністративних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зокрема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proofErr w:type="gram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критеріями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доступності</w:t>
      </w:r>
      <w:proofErr w:type="spellEnd"/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зручності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через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спрощення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процедур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підходу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“комплексна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послуга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життєвими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бізнес-ситуаціями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”;</w:t>
      </w:r>
    </w:p>
    <w:p w14:paraId="63D6FD91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розширення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доступу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діяльність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виконавчої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та</w:t>
      </w:r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можливості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безпосередньої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як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інститутів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громадянського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суспільства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процесах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прийняття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управлінських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9CA7E57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комп’ютерної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грамотності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службовців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громадян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 тому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шляхом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освіти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орієнтованої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новітніх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безперервності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навчання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85DA133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сприяння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міжнародній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співпраці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галузі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інформатизації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демократії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AFE1A50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поліпшення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спроможності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384D1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сільської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ради</w:t>
      </w:r>
      <w:proofErr w:type="gram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ІКТ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впровадження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застосування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демократії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1444169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підтримка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розвитку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спроможності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об’єднаної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територіальної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сучасних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ІКТ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впровадження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28E2485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удосконалення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стану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безпеки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інформаційно-телекомунікаційних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21BF82E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сприяння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широкосмугового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доступу для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користувачів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підвищення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показників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якості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доступу до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мережі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Інтернет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60CCBEA" w14:textId="77777777" w:rsidR="00B4683C" w:rsidRPr="0016347D" w:rsidRDefault="00B4683C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технічна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підтримка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модернізація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існуючих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автоматизованих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інформаційно-комунікаційних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систем,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використовуються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публічного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управління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F78343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Пріоритетними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напрямами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є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9735E1B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Організаційне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методичне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9EE178F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Упровадження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технологій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е-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органах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місцевого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самоврядування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електронних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інформаційних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ресурсів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території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E0ABC69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Розвиток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телекомунікаційного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середовища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громади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захисту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інформації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CEB04D4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Підтримка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працездатності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функціонування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існуючих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систем.</w:t>
      </w:r>
    </w:p>
    <w:p w14:paraId="4F24F615" w14:textId="77777777" w:rsidR="00B4683C" w:rsidRPr="0016347D" w:rsidRDefault="00B4683C" w:rsidP="001634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урахуванням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зазначених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пріоритетних</w:t>
      </w:r>
      <w:proofErr w:type="spellEnd"/>
      <w:r w:rsidR="00B1550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1550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напрямів</w:t>
      </w:r>
      <w:proofErr w:type="spellEnd"/>
      <w:r w:rsidR="00B1550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20</w:t>
      </w:r>
      <w:r w:rsidR="00A36E1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</w:t>
      </w:r>
      <w:r w:rsidR="00B1550E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4A7228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роках </w:t>
      </w:r>
    </w:p>
    <w:p w14:paraId="58015EE4" w14:textId="77777777" w:rsidR="00B4683C" w:rsidRPr="0016347D" w:rsidRDefault="00B4683C" w:rsidP="008D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IV.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Принципи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формування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виконання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Програми</w:t>
      </w:r>
      <w:proofErr w:type="spellEnd"/>
    </w:p>
    <w:p w14:paraId="47A233CF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розраховано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B56D45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роки.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реалізується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один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етап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4AA6404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Передбачаються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такі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джерела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фінансування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7CBC2CD" w14:textId="77777777" w:rsidR="00B4683C" w:rsidRPr="0016347D" w:rsidRDefault="000E44F2" w:rsidP="008D06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кошти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сільського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бюджету (у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разі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необхідності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досягнення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загальнообласних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цілей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кошти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обласного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бюджету на засадах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співфінансування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r w:rsidR="00E76E93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інші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джерела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заборонені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чинним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законодавством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України</w:t>
      </w:r>
      <w:proofErr w:type="spellEnd"/>
      <w:r w:rsidR="00B4683C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EFCE1AE" w14:textId="77777777" w:rsidR="00B4683C" w:rsidRPr="0016347D" w:rsidRDefault="00B4683C" w:rsidP="008D0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V.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Організаційне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забезпечення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виконання</w:t>
      </w:r>
      <w:proofErr w:type="spellEnd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Програми</w:t>
      </w:r>
      <w:proofErr w:type="spellEnd"/>
    </w:p>
    <w:p w14:paraId="366A9452" w14:textId="77777777" w:rsid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Функції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замовника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координація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робіт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щодо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виконання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завдань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Програми</w:t>
      </w:r>
      <w:proofErr w:type="spellEnd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покладаютьс</w:t>
      </w:r>
      <w:r w:rsidR="00B622D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spellEnd"/>
      <w:r w:rsidR="00B622D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B56D45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постійні</w:t>
      </w:r>
      <w:r w:rsidR="00B622D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комісію</w:t>
      </w:r>
      <w:r w:rsidR="00B622D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="00B622D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сільської</w:t>
      </w:r>
      <w:proofErr w:type="spellEnd"/>
      <w:r w:rsidR="00B622D1"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34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ради..</w:t>
      </w:r>
      <w:proofErr w:type="gramEnd"/>
    </w:p>
    <w:p w14:paraId="31C8EBE6" w14:textId="77777777" w:rsidR="0016347D" w:rsidRPr="0016347D" w:rsidRDefault="0016347D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040EB5CB" w14:textId="77777777" w:rsidR="00B4683C" w:rsidRPr="0016347D" w:rsidRDefault="00B4683C" w:rsidP="008D0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60DB0D" w14:textId="77777777" w:rsidR="0016347D" w:rsidRDefault="0016347D" w:rsidP="00163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  <w:sectPr w:rsidR="0016347D" w:rsidSect="008D0683">
          <w:headerReference w:type="default" r:id="rId9"/>
          <w:pgSz w:w="11906" w:h="16838" w:code="9"/>
          <w:pgMar w:top="1134" w:right="707" w:bottom="567" w:left="1701" w:header="567" w:footer="624" w:gutter="0"/>
          <w:cols w:space="708"/>
          <w:titlePg/>
          <w:docGrid w:linePitch="360"/>
        </w:sectPr>
      </w:pPr>
    </w:p>
    <w:p w14:paraId="75C0654D" w14:textId="77777777" w:rsidR="00093208" w:rsidRPr="00E27E00" w:rsidRDefault="00093208" w:rsidP="000932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7E0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ЗАХОДИ</w:t>
      </w:r>
    </w:p>
    <w:p w14:paraId="70FB242B" w14:textId="77777777" w:rsidR="00093208" w:rsidRPr="00E27E00" w:rsidRDefault="00093208" w:rsidP="00093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 </w:t>
      </w:r>
      <w:r w:rsidRPr="00E27E00">
        <w:rPr>
          <w:rFonts w:ascii="Times New Roman" w:hAnsi="Times New Roman"/>
          <w:b/>
          <w:bCs/>
          <w:sz w:val="24"/>
          <w:szCs w:val="24"/>
          <w:lang w:val="uk-UA"/>
        </w:rPr>
        <w:t xml:space="preserve">реалізації </w:t>
      </w:r>
      <w:r w:rsidRPr="00E27E00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Програми </w:t>
      </w:r>
      <w:r w:rsidRPr="00E27E00">
        <w:rPr>
          <w:rFonts w:ascii="Times New Roman" w:eastAsia="Times New Roman" w:hAnsi="Times New Roman"/>
          <w:b/>
          <w:sz w:val="24"/>
          <w:szCs w:val="24"/>
          <w:lang w:val="uk-UA"/>
        </w:rPr>
        <w:t>інформатизації</w:t>
      </w:r>
    </w:p>
    <w:p w14:paraId="6DA786B8" w14:textId="77777777" w:rsidR="00093208" w:rsidRPr="00E27E00" w:rsidRDefault="00093208" w:rsidP="00093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27E0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Тягинської сільської територіальної громади </w:t>
      </w:r>
    </w:p>
    <w:p w14:paraId="4EE83FD9" w14:textId="77777777" w:rsidR="00093208" w:rsidRPr="00E27E00" w:rsidRDefault="00093208" w:rsidP="00093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E27E00">
        <w:rPr>
          <w:rFonts w:ascii="Times New Roman" w:eastAsia="Times New Roman" w:hAnsi="Times New Roman"/>
          <w:b/>
          <w:sz w:val="24"/>
          <w:szCs w:val="24"/>
          <w:lang w:val="uk-UA"/>
        </w:rPr>
        <w:t>на 2022 - 2024 роки</w:t>
      </w:r>
    </w:p>
    <w:p w14:paraId="3EE63D2D" w14:textId="77777777" w:rsidR="00093208" w:rsidRPr="00E27E00" w:rsidRDefault="00093208" w:rsidP="000932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15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210"/>
        <w:gridCol w:w="1420"/>
        <w:gridCol w:w="1984"/>
        <w:gridCol w:w="1568"/>
        <w:gridCol w:w="859"/>
        <w:gridCol w:w="133"/>
        <w:gridCol w:w="20"/>
        <w:gridCol w:w="20"/>
        <w:gridCol w:w="709"/>
        <w:gridCol w:w="141"/>
        <w:gridCol w:w="24"/>
        <w:gridCol w:w="42"/>
        <w:gridCol w:w="865"/>
        <w:gridCol w:w="62"/>
        <w:gridCol w:w="3525"/>
        <w:gridCol w:w="18"/>
      </w:tblGrid>
      <w:tr w:rsidR="003E5694" w:rsidRPr="00E27E00" w14:paraId="785DF433" w14:textId="77777777" w:rsidTr="003E5694">
        <w:trPr>
          <w:gridAfter w:val="1"/>
          <w:wAfter w:w="18" w:type="dxa"/>
          <w:trHeight w:val="315"/>
        </w:trPr>
        <w:tc>
          <w:tcPr>
            <w:tcW w:w="6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BCEB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477B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17CB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A5FB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62DB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2813" w:type="dxa"/>
            <w:gridSpan w:val="9"/>
          </w:tcPr>
          <w:p w14:paraId="3B2A28C7" w14:textId="77777777" w:rsidR="00093208" w:rsidRPr="00E27E00" w:rsidRDefault="00093208" w:rsidP="00823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Орієнтовні обсяги</w:t>
            </w:r>
          </w:p>
          <w:p w14:paraId="5B6B1D21" w14:textId="77777777" w:rsidR="00093208" w:rsidRPr="00E27E00" w:rsidRDefault="00093208" w:rsidP="00823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фінансування,</w:t>
            </w:r>
          </w:p>
          <w:p w14:paraId="374955BA" w14:textId="77777777" w:rsidR="00093208" w:rsidRPr="00E27E00" w:rsidRDefault="00093208" w:rsidP="008231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587" w:type="dxa"/>
            <w:gridSpan w:val="2"/>
            <w:vMerge w:val="restart"/>
          </w:tcPr>
          <w:p w14:paraId="136A9923" w14:textId="77777777" w:rsidR="00093208" w:rsidRPr="00E27E00" w:rsidRDefault="00093208" w:rsidP="008231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  <w:p w14:paraId="7B81A203" w14:textId="77777777" w:rsidR="00093208" w:rsidRPr="00E27E00" w:rsidRDefault="00093208" w:rsidP="008231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731462D" w14:textId="77777777" w:rsidR="00093208" w:rsidRPr="00E27E00" w:rsidRDefault="00093208" w:rsidP="00093208">
            <w:pPr>
              <w:spacing w:after="0" w:line="240" w:lineRule="auto"/>
              <w:ind w:left="4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3208" w:rsidRPr="00E27E00" w14:paraId="5E533EF4" w14:textId="77777777" w:rsidTr="003E5694">
        <w:trPr>
          <w:gridAfter w:val="1"/>
          <w:wAfter w:w="18" w:type="dxa"/>
          <w:trHeight w:val="300"/>
        </w:trPr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5026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92F3" w14:textId="77777777" w:rsidR="00093208" w:rsidRPr="00E27E00" w:rsidRDefault="00093208" w:rsidP="008231A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699D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9742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960B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9" w:type="dxa"/>
          </w:tcPr>
          <w:p w14:paraId="4F530062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2022</w:t>
            </w:r>
          </w:p>
        </w:tc>
        <w:tc>
          <w:tcPr>
            <w:tcW w:w="882" w:type="dxa"/>
            <w:gridSpan w:val="4"/>
          </w:tcPr>
          <w:p w14:paraId="3E428804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1072" w:type="dxa"/>
            <w:gridSpan w:val="4"/>
          </w:tcPr>
          <w:p w14:paraId="1968E82F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3587" w:type="dxa"/>
            <w:gridSpan w:val="2"/>
            <w:vMerge/>
          </w:tcPr>
          <w:p w14:paraId="68A007AC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93208" w:rsidRPr="00E27E00" w14:paraId="21290159" w14:textId="77777777" w:rsidTr="003E5694">
        <w:trPr>
          <w:gridAfter w:val="1"/>
          <w:wAfter w:w="18" w:type="dxa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FEF1" w14:textId="77777777" w:rsidR="00093208" w:rsidRPr="00E27E00" w:rsidRDefault="00093208" w:rsidP="008231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8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3766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Організаційне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методичне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Програми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93208" w:rsidRPr="00E27E00" w14:paraId="55F044D0" w14:textId="77777777" w:rsidTr="003E5694">
        <w:trPr>
          <w:gridAfter w:val="1"/>
          <w:wAfter w:w="18" w:type="dxa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7D23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7E55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роведення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щорічної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оцінки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готовності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визначеними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показниками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5BD2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Щорічно </w:t>
            </w:r>
          </w:p>
          <w:p w14:paraId="07AC5212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січень місяць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3AA7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Виконавчий комітет сільської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Гнилицький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Г.І.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08C3" w14:textId="77777777" w:rsidR="00093208" w:rsidRPr="00E27E00" w:rsidRDefault="00093208" w:rsidP="008231A4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gridSpan w:val="4"/>
          </w:tcPr>
          <w:p w14:paraId="2BB4F07D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577AC878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gridSpan w:val="3"/>
          </w:tcPr>
          <w:p w14:paraId="1C69945D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7" w:type="dxa"/>
            <w:gridSpan w:val="2"/>
          </w:tcPr>
          <w:p w14:paraId="196D756D" w14:textId="77777777" w:rsidR="00093208" w:rsidRPr="00E27E00" w:rsidRDefault="00093208" w:rsidP="00093208">
            <w:pPr>
              <w:pStyle w:val="a3"/>
              <w:shd w:val="clear" w:color="auto" w:fill="FFFFFF"/>
              <w:spacing w:after="0" w:line="240" w:lineRule="auto"/>
              <w:ind w:left="203" w:right="1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3E8E92" w14:textId="77777777" w:rsidR="00093208" w:rsidRPr="00E27E00" w:rsidRDefault="00093208" w:rsidP="00093208">
            <w:pPr>
              <w:pStyle w:val="a3"/>
              <w:shd w:val="clear" w:color="auto" w:fill="FFFFFF"/>
              <w:spacing w:after="0" w:line="240" w:lineRule="auto"/>
              <w:ind w:left="0" w:right="1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3208" w:rsidRPr="00E27E00" w14:paraId="6F13A233" w14:textId="77777777" w:rsidTr="003E5694">
        <w:trPr>
          <w:gridAfter w:val="1"/>
          <w:wAfter w:w="18" w:type="dxa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CE3A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D09224" w14:textId="77777777" w:rsidR="00093208" w:rsidRPr="00E27E00" w:rsidRDefault="00093208" w:rsidP="008231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2759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Щ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орічна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інвентаризація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програмно-технічних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ресурсів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усіх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структурних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місцевого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правових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актів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стосовно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комп’ютерних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 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програм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6AFA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Щорічно січень - лютий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FD5E" w14:textId="77777777" w:rsidR="00093208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Виконавчий комітет сільської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</w:p>
          <w:p w14:paraId="3AD9E56D" w14:textId="77777777" w:rsidR="00093208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Гнилицький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Є.О., </w:t>
            </w:r>
          </w:p>
          <w:p w14:paraId="54435E30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Кулініч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Г.І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3E3D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gridSpan w:val="4"/>
          </w:tcPr>
          <w:p w14:paraId="743D8C17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</w:tcPr>
          <w:p w14:paraId="783437B4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  <w:gridSpan w:val="3"/>
          </w:tcPr>
          <w:p w14:paraId="0649DD38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7" w:type="dxa"/>
            <w:gridSpan w:val="2"/>
          </w:tcPr>
          <w:p w14:paraId="5AB86550" w14:textId="77777777" w:rsidR="00093208" w:rsidRPr="00E27E00" w:rsidRDefault="00093208" w:rsidP="00093208">
            <w:pPr>
              <w:pStyle w:val="a3"/>
              <w:shd w:val="clear" w:color="auto" w:fill="FFFFFF"/>
              <w:spacing w:after="0" w:line="240" w:lineRule="auto"/>
              <w:ind w:left="203" w:right="1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ехнічна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існуючих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автоматизованих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інформаційно-комунікаційних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систем,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публічного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093208" w:rsidRPr="00E27E00" w14:paraId="1F923C8A" w14:textId="77777777" w:rsidTr="003E5694">
        <w:trPr>
          <w:gridAfter w:val="1"/>
          <w:wAfter w:w="18" w:type="dxa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6D32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FBF2" w14:textId="61E266AF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рганізація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фахівців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сільської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з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питань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урядування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базі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спеціалізованих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установ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підприємств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кваліфікації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фахівців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комунального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адміністраторів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мереж та баз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даних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захисту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3228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Постійно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E7B2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Сільський голова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Раїса Пономаренко</w:t>
            </w: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відділ кадрів сільської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7639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Місцевий бюджет, </w:t>
            </w:r>
          </w:p>
        </w:tc>
        <w:tc>
          <w:tcPr>
            <w:tcW w:w="1032" w:type="dxa"/>
            <w:gridSpan w:val="4"/>
          </w:tcPr>
          <w:p w14:paraId="5A3E4B63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тис.</w:t>
            </w:r>
          </w:p>
        </w:tc>
        <w:tc>
          <w:tcPr>
            <w:tcW w:w="850" w:type="dxa"/>
            <w:gridSpan w:val="2"/>
          </w:tcPr>
          <w:p w14:paraId="22DEF746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 тис.</w:t>
            </w:r>
          </w:p>
        </w:tc>
        <w:tc>
          <w:tcPr>
            <w:tcW w:w="931" w:type="dxa"/>
            <w:gridSpan w:val="3"/>
          </w:tcPr>
          <w:p w14:paraId="5EC0F7E4" w14:textId="40889B7C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B37A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</w:p>
        </w:tc>
        <w:tc>
          <w:tcPr>
            <w:tcW w:w="3587" w:type="dxa"/>
            <w:gridSpan w:val="2"/>
          </w:tcPr>
          <w:p w14:paraId="2BF2E043" w14:textId="77777777" w:rsidR="00093208" w:rsidRPr="00E27E00" w:rsidRDefault="00093208" w:rsidP="00093208">
            <w:pPr>
              <w:shd w:val="clear" w:color="auto" w:fill="FFFFFF"/>
              <w:spacing w:after="0" w:line="240" w:lineRule="auto"/>
              <w:ind w:left="203" w:right="12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абезпечення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комп’ютерної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грамотності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публічних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службовців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громадян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створення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системи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освіти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орієнтованої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новітніх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інформаційно-комунікаційних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безперервності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навчання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093208" w:rsidRPr="00E27E00" w14:paraId="42CE8BD1" w14:textId="77777777" w:rsidTr="003E5694">
        <w:trPr>
          <w:gridAfter w:val="1"/>
          <w:wAfter w:w="18" w:type="dxa"/>
        </w:trPr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3793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8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DA24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Упровадження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технологій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е-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урядування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органі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місцевого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самоврядування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формування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системи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 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електронних</w:t>
            </w:r>
            <w:proofErr w:type="spellEnd"/>
            <w:proofErr w:type="gram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інформаційних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ресурсів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 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93208" w:rsidRPr="00E27E00" w14:paraId="3EE4745D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AAC5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F2E0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озвиток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системи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EAF54C3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B16E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94B6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Смоленська О.М.,</w:t>
            </w: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,</w:t>
            </w:r>
          </w:p>
          <w:p w14:paraId="06B7FC76" w14:textId="77777777" w:rsidR="00093208" w:rsidRPr="00E27E00" w:rsidRDefault="00093208" w:rsidP="008231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Гнилицький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Є.О. </w:t>
            </w:r>
          </w:p>
          <w:p w14:paraId="5B5CF563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Кулініч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Г.І.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AB7D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Місцевий бюджет, </w:t>
            </w:r>
          </w:p>
        </w:tc>
        <w:tc>
          <w:tcPr>
            <w:tcW w:w="1032" w:type="dxa"/>
            <w:gridSpan w:val="4"/>
          </w:tcPr>
          <w:p w14:paraId="374589B1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4"/>
          </w:tcPr>
          <w:p w14:paraId="01C01662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gridSpan w:val="2"/>
          </w:tcPr>
          <w:p w14:paraId="4127613A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1EC9CDAF" w14:textId="77777777" w:rsidR="00093208" w:rsidRPr="00E27E00" w:rsidRDefault="00093208" w:rsidP="00093208">
            <w:pPr>
              <w:tabs>
                <w:tab w:val="left" w:pos="144"/>
              </w:tabs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хоплення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системами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безпаперового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сільської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ради  з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цифрового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підпису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інших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ідентифікації</w:t>
            </w:r>
            <w:proofErr w:type="spellEnd"/>
          </w:p>
        </w:tc>
      </w:tr>
      <w:tr w:rsidR="00093208" w:rsidRPr="00E27E00" w14:paraId="362FAF75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D9B1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4734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пілотних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публічних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послуг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в ОТГ;</w:t>
            </w:r>
          </w:p>
          <w:p w14:paraId="2F043895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89CA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FD2B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Гнилицький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Є.О., </w:t>
            </w:r>
          </w:p>
          <w:p w14:paraId="1BBA6551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Кацун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В.О.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04B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бюджет, спонсорські кошти,</w:t>
            </w:r>
          </w:p>
        </w:tc>
        <w:tc>
          <w:tcPr>
            <w:tcW w:w="1032" w:type="dxa"/>
            <w:gridSpan w:val="4"/>
          </w:tcPr>
          <w:p w14:paraId="61256C1B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4"/>
          </w:tcPr>
          <w:p w14:paraId="73B11FFF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gridSpan w:val="2"/>
          </w:tcPr>
          <w:p w14:paraId="6D2571D2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508C6C9D" w14:textId="77777777" w:rsidR="00093208" w:rsidRPr="00E27E00" w:rsidRDefault="00093208" w:rsidP="00093208">
            <w:pPr>
              <w:shd w:val="clear" w:color="auto" w:fill="FFFFFF"/>
              <w:tabs>
                <w:tab w:val="left" w:pos="144"/>
              </w:tabs>
              <w:spacing w:after="0" w:line="240" w:lineRule="auto"/>
              <w:ind w:left="141" w:right="141" w:firstLine="142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озволить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інтегрувати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громаду до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світового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інформаційного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простору,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брати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процесах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регіонального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сталий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розвиток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економіки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93208" w:rsidRPr="00E27E00" w14:paraId="3E646C4C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EEF9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ADA2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нтеграція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віртуального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офісу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електронних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послуг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Тягинської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ТГ з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державним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порталом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послуг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іншими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інформаційними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системами;</w:t>
            </w:r>
          </w:p>
          <w:p w14:paraId="1637FE44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упровадження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2515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Січень – липень 2022 року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812E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Кацун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В.О.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8093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бюджет, спонсорські кошти,</w:t>
            </w:r>
          </w:p>
        </w:tc>
        <w:tc>
          <w:tcPr>
            <w:tcW w:w="1032" w:type="dxa"/>
            <w:gridSpan w:val="4"/>
          </w:tcPr>
          <w:p w14:paraId="04767075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4"/>
          </w:tcPr>
          <w:p w14:paraId="4EC4DEF1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gridSpan w:val="2"/>
          </w:tcPr>
          <w:p w14:paraId="71A9A45B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14132AFA" w14:textId="77777777" w:rsidR="00093208" w:rsidRPr="00E27E00" w:rsidRDefault="00093208" w:rsidP="00093208">
            <w:pPr>
              <w:pStyle w:val="a3"/>
              <w:shd w:val="clear" w:color="auto" w:fill="FFFFFF"/>
              <w:tabs>
                <w:tab w:val="left" w:pos="144"/>
              </w:tabs>
              <w:spacing w:after="0" w:line="240" w:lineRule="auto"/>
              <w:ind w:left="141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для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 на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всій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систем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телекомунікаційного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</w:tr>
      <w:tr w:rsidR="00093208" w:rsidRPr="00E27E00" w14:paraId="5B5E5E0B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7148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B08C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творення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системи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реєстрів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територіальною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громадою;</w:t>
            </w:r>
          </w:p>
          <w:p w14:paraId="5562B915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пілотних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сільського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бюджету,  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моніторингу</w:t>
            </w:r>
            <w:proofErr w:type="spellEnd"/>
            <w:proofErr w:type="gram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щодо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процедур та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оговорів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товарів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робіт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послуг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Тягинській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ТГ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7634CBF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075D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Постійно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5BAB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Гнилицький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Є,О.</w:t>
            </w:r>
          </w:p>
          <w:p w14:paraId="479883A4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Котій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Т.М., </w:t>
            </w: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Артющенко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О.Ю.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0039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Місцевий бюджет, спонсорські </w:t>
            </w: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кошти,</w:t>
            </w:r>
          </w:p>
        </w:tc>
        <w:tc>
          <w:tcPr>
            <w:tcW w:w="1032" w:type="dxa"/>
            <w:gridSpan w:val="4"/>
          </w:tcPr>
          <w:p w14:paraId="11B855CA" w14:textId="77777777" w:rsidR="00093208" w:rsidRPr="00E27E00" w:rsidRDefault="00093208" w:rsidP="008231A4">
            <w:pPr>
              <w:pStyle w:val="a3"/>
              <w:shd w:val="clear" w:color="auto" w:fill="FFFFFF"/>
              <w:spacing w:after="0" w:line="240" w:lineRule="auto"/>
              <w:ind w:left="0" w:right="142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4"/>
          </w:tcPr>
          <w:p w14:paraId="67BFDA02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gridSpan w:val="2"/>
          </w:tcPr>
          <w:p w14:paraId="461B5E56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22FEDA64" w14:textId="77777777" w:rsidR="00093208" w:rsidRPr="00E27E00" w:rsidRDefault="00093208" w:rsidP="00093208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апровадження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технологій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мешканців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громад,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ільсько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ради;</w:t>
            </w:r>
          </w:p>
          <w:p w14:paraId="260CFD4E" w14:textId="77777777" w:rsidR="00093208" w:rsidRPr="00E27E00" w:rsidRDefault="00093208" w:rsidP="0009320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3208" w:rsidRPr="00E27E00" w14:paraId="266508B6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ABB7D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F0A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апровадження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 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розвиток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демократії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1074A4C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3362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2022 рік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EE0C" w14:textId="77777777" w:rsidR="00093208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Виконавчий комітет сільської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14:paraId="73262C15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Кацун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В.О., </w:t>
            </w: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Гнилицький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Є.О.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06C9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бюджет, спонсорські кошти,</w:t>
            </w:r>
          </w:p>
        </w:tc>
        <w:tc>
          <w:tcPr>
            <w:tcW w:w="1032" w:type="dxa"/>
            <w:gridSpan w:val="4"/>
          </w:tcPr>
          <w:p w14:paraId="3CEF08E3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4"/>
          </w:tcPr>
          <w:p w14:paraId="3934CB53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gridSpan w:val="2"/>
          </w:tcPr>
          <w:p w14:paraId="39690758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0D4B8CCB" w14:textId="77777777" w:rsidR="00093208" w:rsidRPr="00E27E00" w:rsidRDefault="00093208" w:rsidP="00093208">
            <w:pPr>
              <w:shd w:val="clear" w:color="auto" w:fill="FFFFFF"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типових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рішень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для  ТГ 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сфері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розвитку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е-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урядування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е-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демократії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числі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залученням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проектів</w:t>
            </w:r>
            <w:proofErr w:type="spellEnd"/>
          </w:p>
        </w:tc>
      </w:tr>
      <w:tr w:rsidR="00093208" w:rsidRPr="00E27E00" w14:paraId="6A70FAB2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F41B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55F3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творення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інтегрованої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платформи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Інтернет-порталів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виконавчої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влади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 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місцевого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80E1037" w14:textId="77777777" w:rsidR="00093208" w:rsidRPr="00E27E00" w:rsidRDefault="00093208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C5A8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2022 рік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6FEF" w14:textId="77777777" w:rsidR="00093208" w:rsidRPr="00E27E00" w:rsidRDefault="00093208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Виконавчий апарат сільської ради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FC9D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бюджет, спонсорські кошти,</w:t>
            </w:r>
          </w:p>
        </w:tc>
        <w:tc>
          <w:tcPr>
            <w:tcW w:w="1032" w:type="dxa"/>
            <w:gridSpan w:val="4"/>
          </w:tcPr>
          <w:p w14:paraId="2E44F63E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4"/>
          </w:tcPr>
          <w:p w14:paraId="26A76EE2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7" w:type="dxa"/>
            <w:gridSpan w:val="2"/>
          </w:tcPr>
          <w:p w14:paraId="00559D16" w14:textId="77777777" w:rsidR="00093208" w:rsidRPr="00E27E00" w:rsidRDefault="00093208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6F780552" w14:textId="77777777" w:rsidR="00093208" w:rsidRPr="00E27E00" w:rsidRDefault="00093208" w:rsidP="00093208">
            <w:pPr>
              <w:pStyle w:val="a3"/>
              <w:shd w:val="clear" w:color="auto" w:fill="FFFFFF"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астосування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широкого -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комунікаційних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E5694" w:rsidRPr="00E27E00" w14:paraId="3E881DB4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7A13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E499" w14:textId="77777777" w:rsidR="003E5694" w:rsidRPr="00E27E00" w:rsidRDefault="003E5694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творення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інтегрованої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платформи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Інтернет-порталів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органів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виконавчої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влади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та  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місцевого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627962E" w14:textId="77777777" w:rsidR="003E5694" w:rsidRPr="00E27E00" w:rsidRDefault="003E5694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18F6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2022 рік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5C53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Виконавчий апарат сільської ради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B683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бюджет, спонсорські кошти,</w:t>
            </w:r>
          </w:p>
        </w:tc>
        <w:tc>
          <w:tcPr>
            <w:tcW w:w="1012" w:type="dxa"/>
            <w:gridSpan w:val="3"/>
          </w:tcPr>
          <w:p w14:paraId="19B7C20B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gridSpan w:val="4"/>
          </w:tcPr>
          <w:p w14:paraId="399BDC9D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3"/>
          </w:tcPr>
          <w:p w14:paraId="2B6B4ADA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4E23628A" w14:textId="77777777" w:rsidR="003E5694" w:rsidRPr="00E27E00" w:rsidRDefault="003E5694" w:rsidP="003E5694">
            <w:pPr>
              <w:pStyle w:val="a3"/>
              <w:shd w:val="clear" w:color="auto" w:fill="FFFFFF"/>
              <w:spacing w:after="0" w:line="240" w:lineRule="auto"/>
              <w:ind w:left="101" w:right="18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астосування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широкого -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комунікаційних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E5694" w:rsidRPr="00E27E00" w14:paraId="599D91E8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4681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600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7A9D" w14:textId="77777777" w:rsidR="003E5694" w:rsidRPr="00E27E00" w:rsidRDefault="003E5694" w:rsidP="008231A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Розвиток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телекомунікаційного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середовища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захисту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proofErr w:type="spellEnd"/>
            <w:r w:rsidRPr="00E27E0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E5694" w:rsidRPr="00E27E00" w14:paraId="4F4C8A21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45F4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5EDB" w14:textId="77777777" w:rsidR="003E5694" w:rsidRPr="00E27E00" w:rsidRDefault="003E5694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оширення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бездротової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мережі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роботі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сільської </w:t>
            </w:r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ради;</w:t>
            </w:r>
          </w:p>
          <w:p w14:paraId="0D76E0C3" w14:textId="77777777" w:rsidR="003E5694" w:rsidRPr="00E27E00" w:rsidRDefault="003E5694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4D37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2022 рік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0F8C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Поскрипка</w:t>
            </w:r>
            <w:proofErr w:type="spellEnd"/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А.А.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3C28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92" w:type="dxa"/>
            <w:gridSpan w:val="2"/>
          </w:tcPr>
          <w:p w14:paraId="2B21C39E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 тис. </w:t>
            </w:r>
          </w:p>
        </w:tc>
        <w:tc>
          <w:tcPr>
            <w:tcW w:w="914" w:type="dxa"/>
            <w:gridSpan w:val="5"/>
          </w:tcPr>
          <w:p w14:paraId="495A4C41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тис.</w:t>
            </w:r>
          </w:p>
        </w:tc>
        <w:tc>
          <w:tcPr>
            <w:tcW w:w="969" w:type="dxa"/>
            <w:gridSpan w:val="3"/>
          </w:tcPr>
          <w:p w14:paraId="282C3ADF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тис.</w:t>
            </w:r>
          </w:p>
        </w:tc>
        <w:tc>
          <w:tcPr>
            <w:tcW w:w="3543" w:type="dxa"/>
            <w:gridSpan w:val="2"/>
          </w:tcPr>
          <w:p w14:paraId="43DB4E02" w14:textId="77777777" w:rsidR="003E5694" w:rsidRPr="00E27E00" w:rsidRDefault="003E5694" w:rsidP="003E5694">
            <w:pPr>
              <w:shd w:val="clear" w:color="auto" w:fill="FFFFFF"/>
              <w:spacing w:after="0" w:line="240" w:lineRule="auto"/>
              <w:ind w:left="101" w:right="18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тримання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громадянами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рівного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якісного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доступу до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послуг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у сферах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освіти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охорони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здоров’я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захисту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тощо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3E5694" w:rsidRPr="00E27E00" w14:paraId="51A5F37F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E0F1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45EE" w14:textId="77777777" w:rsidR="003E5694" w:rsidRPr="00E27E00" w:rsidRDefault="003E5694" w:rsidP="008231A4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A721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2022 рік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9DDD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Виконавчий апарат сільської ради</w:t>
            </w: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1150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92" w:type="dxa"/>
            <w:gridSpan w:val="2"/>
          </w:tcPr>
          <w:p w14:paraId="5881DE5C" w14:textId="77777777" w:rsidR="003E5694" w:rsidRPr="00E27E00" w:rsidRDefault="003E5694" w:rsidP="008231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  <w:gridSpan w:val="5"/>
          </w:tcPr>
          <w:p w14:paraId="093C6763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  <w:gridSpan w:val="3"/>
          </w:tcPr>
          <w:p w14:paraId="6D56ED05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14:paraId="3ACFD187" w14:textId="77777777" w:rsidR="003E5694" w:rsidRPr="00E27E00" w:rsidRDefault="003E5694" w:rsidP="003E5694">
            <w:pPr>
              <w:pStyle w:val="a3"/>
              <w:shd w:val="clear" w:color="auto" w:fill="FFFFFF"/>
              <w:spacing w:after="0" w:line="240" w:lineRule="auto"/>
              <w:ind w:left="101" w:right="18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ідтримка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ІКТ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типових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E5694" w:rsidRPr="00E27E00" w14:paraId="044247EB" w14:textId="77777777" w:rsidTr="003E5694"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259A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7650" w14:textId="77777777" w:rsidR="003E5694" w:rsidRPr="00E27E00" w:rsidRDefault="003E5694" w:rsidP="008231A4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ридбання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інформатизації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іцензійного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2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EDAE15" w14:textId="77777777" w:rsidR="003E5694" w:rsidRPr="00E27E00" w:rsidRDefault="003E5694" w:rsidP="00823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поновлення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ліцензій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раніше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придбаного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програмного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3F5B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7D32" w14:textId="77777777" w:rsidR="003E5694" w:rsidRPr="00E27E00" w:rsidRDefault="003E5694" w:rsidP="008231A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B9CF" w14:textId="77777777" w:rsidR="003E5694" w:rsidRPr="00E27E00" w:rsidRDefault="003E5694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бюджет, спонсорські кошти,</w:t>
            </w:r>
          </w:p>
        </w:tc>
        <w:tc>
          <w:tcPr>
            <w:tcW w:w="992" w:type="dxa"/>
            <w:gridSpan w:val="2"/>
          </w:tcPr>
          <w:p w14:paraId="1E672174" w14:textId="4887D731" w:rsidR="003E5694" w:rsidRPr="00E27E00" w:rsidRDefault="005B37AF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E5694">
              <w:rPr>
                <w:rFonts w:ascii="Times New Roman" w:hAnsi="Times New Roman"/>
                <w:sz w:val="24"/>
                <w:szCs w:val="24"/>
                <w:lang w:val="uk-UA"/>
              </w:rPr>
              <w:t>00 тис.</w:t>
            </w:r>
          </w:p>
        </w:tc>
        <w:tc>
          <w:tcPr>
            <w:tcW w:w="914" w:type="dxa"/>
            <w:gridSpan w:val="5"/>
          </w:tcPr>
          <w:p w14:paraId="757B1E27" w14:textId="15F60352" w:rsidR="003E5694" w:rsidRPr="00E27E00" w:rsidRDefault="005B37AF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E5694">
              <w:rPr>
                <w:rFonts w:ascii="Times New Roman" w:hAnsi="Times New Roman"/>
                <w:sz w:val="24"/>
                <w:szCs w:val="24"/>
                <w:lang w:val="uk-UA"/>
              </w:rPr>
              <w:t>00 тис.</w:t>
            </w:r>
          </w:p>
        </w:tc>
        <w:tc>
          <w:tcPr>
            <w:tcW w:w="969" w:type="dxa"/>
            <w:gridSpan w:val="3"/>
          </w:tcPr>
          <w:p w14:paraId="0F40B528" w14:textId="4828D78F" w:rsidR="003E5694" w:rsidRPr="00E27E00" w:rsidRDefault="005B37AF" w:rsidP="00823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E5694">
              <w:rPr>
                <w:rFonts w:ascii="Times New Roman" w:hAnsi="Times New Roman"/>
                <w:sz w:val="24"/>
                <w:szCs w:val="24"/>
                <w:lang w:val="uk-UA"/>
              </w:rPr>
              <w:t>00 тис.</w:t>
            </w:r>
          </w:p>
        </w:tc>
        <w:tc>
          <w:tcPr>
            <w:tcW w:w="3543" w:type="dxa"/>
            <w:gridSpan w:val="2"/>
          </w:tcPr>
          <w:p w14:paraId="40728417" w14:textId="77777777" w:rsidR="003E5694" w:rsidRPr="00E27E00" w:rsidRDefault="003E5694" w:rsidP="003E5694">
            <w:pPr>
              <w:spacing w:after="0" w:line="240" w:lineRule="auto"/>
              <w:ind w:left="101" w:right="18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E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абезпечення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сфері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авторського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права та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захисту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E27E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7DCDA283" w14:textId="77777777" w:rsidR="003E5694" w:rsidRPr="00E27E00" w:rsidRDefault="003E5694" w:rsidP="003E5694">
      <w:pPr>
        <w:spacing w:after="0" w:line="240" w:lineRule="auto"/>
        <w:rPr>
          <w:sz w:val="24"/>
          <w:szCs w:val="24"/>
        </w:rPr>
      </w:pPr>
    </w:p>
    <w:p w14:paraId="54E078DE" w14:textId="141FDB18" w:rsidR="003E5694" w:rsidRDefault="003E5694" w:rsidP="003E5694">
      <w:pPr>
        <w:shd w:val="clear" w:color="auto" w:fill="FFFFFF"/>
        <w:tabs>
          <w:tab w:val="left" w:pos="6237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524D102" w14:textId="1072F06D" w:rsidR="002767F3" w:rsidRDefault="002767F3" w:rsidP="003E5694">
      <w:pPr>
        <w:shd w:val="clear" w:color="auto" w:fill="FFFFFF"/>
        <w:tabs>
          <w:tab w:val="left" w:pos="6237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47E5001" w14:textId="062A0D06" w:rsidR="002767F3" w:rsidRPr="002767F3" w:rsidRDefault="002767F3" w:rsidP="002767F3">
      <w:pPr>
        <w:shd w:val="clear" w:color="auto" w:fill="FFFFFF"/>
        <w:tabs>
          <w:tab w:val="left" w:pos="6237"/>
          <w:tab w:val="left" w:pos="10773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сільської ради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Тетяна КОСТОЧКО</w:t>
      </w:r>
    </w:p>
    <w:p w14:paraId="4289D176" w14:textId="77777777" w:rsidR="00F760DC" w:rsidRPr="00F760DC" w:rsidRDefault="00F760DC" w:rsidP="0009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F760DC" w:rsidRPr="00F760DC" w:rsidSect="00D34397">
      <w:pgSz w:w="16838" w:h="11906" w:orient="landscape" w:code="9"/>
      <w:pgMar w:top="709" w:right="567" w:bottom="1276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7415" w14:textId="77777777" w:rsidR="0043686C" w:rsidRDefault="0043686C" w:rsidP="006B7ED1">
      <w:pPr>
        <w:spacing w:after="0" w:line="240" w:lineRule="auto"/>
      </w:pPr>
      <w:r>
        <w:separator/>
      </w:r>
    </w:p>
  </w:endnote>
  <w:endnote w:type="continuationSeparator" w:id="0">
    <w:p w14:paraId="7A114E5A" w14:textId="77777777" w:rsidR="0043686C" w:rsidRDefault="0043686C" w:rsidP="006B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D991" w14:textId="77777777" w:rsidR="0043686C" w:rsidRDefault="0043686C" w:rsidP="006B7ED1">
      <w:pPr>
        <w:spacing w:after="0" w:line="240" w:lineRule="auto"/>
      </w:pPr>
      <w:r>
        <w:separator/>
      </w:r>
    </w:p>
  </w:footnote>
  <w:footnote w:type="continuationSeparator" w:id="0">
    <w:p w14:paraId="1EDF2327" w14:textId="77777777" w:rsidR="0043686C" w:rsidRDefault="0043686C" w:rsidP="006B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3318"/>
      <w:docPartObj>
        <w:docPartGallery w:val="Page Numbers (Top of Page)"/>
        <w:docPartUnique/>
      </w:docPartObj>
    </w:sdtPr>
    <w:sdtEndPr/>
    <w:sdtContent>
      <w:p w14:paraId="13D08A86" w14:textId="77777777" w:rsidR="00602029" w:rsidRPr="008D0683" w:rsidRDefault="00602029" w:rsidP="008D06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9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914"/>
    <w:multiLevelType w:val="hybridMultilevel"/>
    <w:tmpl w:val="007AC5A2"/>
    <w:lvl w:ilvl="0" w:tplc="C1E29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FC2964"/>
    <w:multiLevelType w:val="hybridMultilevel"/>
    <w:tmpl w:val="95823FE8"/>
    <w:lvl w:ilvl="0" w:tplc="E1725314"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6ED"/>
    <w:rsid w:val="00084FDA"/>
    <w:rsid w:val="00093208"/>
    <w:rsid w:val="000D1D38"/>
    <w:rsid w:val="000E02C5"/>
    <w:rsid w:val="000E44F2"/>
    <w:rsid w:val="000E6EAA"/>
    <w:rsid w:val="00104793"/>
    <w:rsid w:val="001176AB"/>
    <w:rsid w:val="00141B23"/>
    <w:rsid w:val="001511E2"/>
    <w:rsid w:val="0015584D"/>
    <w:rsid w:val="0016347D"/>
    <w:rsid w:val="001648EB"/>
    <w:rsid w:val="001737BB"/>
    <w:rsid w:val="00183F6A"/>
    <w:rsid w:val="00194CE5"/>
    <w:rsid w:val="00195C20"/>
    <w:rsid w:val="001B4EF6"/>
    <w:rsid w:val="001D755A"/>
    <w:rsid w:val="001E6C60"/>
    <w:rsid w:val="001F1398"/>
    <w:rsid w:val="001F3735"/>
    <w:rsid w:val="00230C1A"/>
    <w:rsid w:val="002767F3"/>
    <w:rsid w:val="00281226"/>
    <w:rsid w:val="00283689"/>
    <w:rsid w:val="002B3B2B"/>
    <w:rsid w:val="002E6F91"/>
    <w:rsid w:val="003211E8"/>
    <w:rsid w:val="00331A70"/>
    <w:rsid w:val="0034669C"/>
    <w:rsid w:val="00382BBF"/>
    <w:rsid w:val="00384D11"/>
    <w:rsid w:val="00387E66"/>
    <w:rsid w:val="00392025"/>
    <w:rsid w:val="003B1571"/>
    <w:rsid w:val="003B5C14"/>
    <w:rsid w:val="003D7F0C"/>
    <w:rsid w:val="003E2040"/>
    <w:rsid w:val="003E5694"/>
    <w:rsid w:val="00400F00"/>
    <w:rsid w:val="0043686C"/>
    <w:rsid w:val="00456870"/>
    <w:rsid w:val="004634BE"/>
    <w:rsid w:val="00475B96"/>
    <w:rsid w:val="004A7228"/>
    <w:rsid w:val="004B3FC1"/>
    <w:rsid w:val="004B47BC"/>
    <w:rsid w:val="004F0F83"/>
    <w:rsid w:val="00507973"/>
    <w:rsid w:val="00524006"/>
    <w:rsid w:val="00532FD9"/>
    <w:rsid w:val="00533ED6"/>
    <w:rsid w:val="00542722"/>
    <w:rsid w:val="005B37AF"/>
    <w:rsid w:val="00602029"/>
    <w:rsid w:val="006278BD"/>
    <w:rsid w:val="00631A55"/>
    <w:rsid w:val="00664444"/>
    <w:rsid w:val="006B7ED1"/>
    <w:rsid w:val="006C1FF4"/>
    <w:rsid w:val="006D3777"/>
    <w:rsid w:val="006F2B56"/>
    <w:rsid w:val="0072423A"/>
    <w:rsid w:val="00741E6F"/>
    <w:rsid w:val="00745F7F"/>
    <w:rsid w:val="0075496D"/>
    <w:rsid w:val="0076170D"/>
    <w:rsid w:val="007840AC"/>
    <w:rsid w:val="00785E44"/>
    <w:rsid w:val="00791395"/>
    <w:rsid w:val="007D6006"/>
    <w:rsid w:val="00812A2A"/>
    <w:rsid w:val="00830DE1"/>
    <w:rsid w:val="00832105"/>
    <w:rsid w:val="00834833"/>
    <w:rsid w:val="00861DBD"/>
    <w:rsid w:val="008A1D80"/>
    <w:rsid w:val="008B4537"/>
    <w:rsid w:val="008D0683"/>
    <w:rsid w:val="008E765A"/>
    <w:rsid w:val="008F1253"/>
    <w:rsid w:val="00902867"/>
    <w:rsid w:val="009067E7"/>
    <w:rsid w:val="0095663D"/>
    <w:rsid w:val="00987405"/>
    <w:rsid w:val="009C6D04"/>
    <w:rsid w:val="009E4BAF"/>
    <w:rsid w:val="009F0485"/>
    <w:rsid w:val="00A1413E"/>
    <w:rsid w:val="00A36E1E"/>
    <w:rsid w:val="00A37CDF"/>
    <w:rsid w:val="00A60F5A"/>
    <w:rsid w:val="00A71182"/>
    <w:rsid w:val="00A84A76"/>
    <w:rsid w:val="00A913F2"/>
    <w:rsid w:val="00A92E36"/>
    <w:rsid w:val="00AA662D"/>
    <w:rsid w:val="00AB02EA"/>
    <w:rsid w:val="00AB3067"/>
    <w:rsid w:val="00AC5376"/>
    <w:rsid w:val="00AD0A88"/>
    <w:rsid w:val="00B13188"/>
    <w:rsid w:val="00B1550E"/>
    <w:rsid w:val="00B4683C"/>
    <w:rsid w:val="00B56D45"/>
    <w:rsid w:val="00B622D1"/>
    <w:rsid w:val="00B879FD"/>
    <w:rsid w:val="00BB7B9E"/>
    <w:rsid w:val="00BE2F3D"/>
    <w:rsid w:val="00BF17FF"/>
    <w:rsid w:val="00BF4D6B"/>
    <w:rsid w:val="00C1103E"/>
    <w:rsid w:val="00C536ED"/>
    <w:rsid w:val="00C572BC"/>
    <w:rsid w:val="00CC7F36"/>
    <w:rsid w:val="00CE5AAA"/>
    <w:rsid w:val="00D34397"/>
    <w:rsid w:val="00D64AB8"/>
    <w:rsid w:val="00D9010B"/>
    <w:rsid w:val="00D97034"/>
    <w:rsid w:val="00DD6857"/>
    <w:rsid w:val="00E07B54"/>
    <w:rsid w:val="00E21DDD"/>
    <w:rsid w:val="00E34612"/>
    <w:rsid w:val="00E44811"/>
    <w:rsid w:val="00E71BE9"/>
    <w:rsid w:val="00E76E93"/>
    <w:rsid w:val="00EB123D"/>
    <w:rsid w:val="00EC5BA2"/>
    <w:rsid w:val="00EF2F00"/>
    <w:rsid w:val="00F01FA8"/>
    <w:rsid w:val="00F70A04"/>
    <w:rsid w:val="00F760DC"/>
    <w:rsid w:val="00FA6F55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32E5"/>
  <w15:docId w15:val="{2BEB50C3-941A-4BB5-BA3F-3E8CA63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B7ED1"/>
  </w:style>
  <w:style w:type="paragraph" w:styleId="a6">
    <w:name w:val="footer"/>
    <w:basedOn w:val="a"/>
    <w:link w:val="a7"/>
    <w:uiPriority w:val="99"/>
    <w:unhideWhenUsed/>
    <w:rsid w:val="006B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B7ED1"/>
  </w:style>
  <w:style w:type="paragraph" w:styleId="a8">
    <w:name w:val="Balloon Text"/>
    <w:basedOn w:val="a"/>
    <w:link w:val="a9"/>
    <w:uiPriority w:val="99"/>
    <w:semiHidden/>
    <w:unhideWhenUsed/>
    <w:rsid w:val="008F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F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62FC-8919-4328-8614-2777A671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14259</Words>
  <Characters>8129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Ganna</cp:lastModifiedBy>
  <cp:revision>22</cp:revision>
  <cp:lastPrinted>2021-10-29T12:39:00Z</cp:lastPrinted>
  <dcterms:created xsi:type="dcterms:W3CDTF">2021-10-29T06:13:00Z</dcterms:created>
  <dcterms:modified xsi:type="dcterms:W3CDTF">2021-12-10T16:11:00Z</dcterms:modified>
</cp:coreProperties>
</file>